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3" w:rsidRDefault="00BB3CA3" w:rsidP="00BB3C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BB3CA3" w:rsidRDefault="00BB3CA3" w:rsidP="00BB3C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Default="00BB3CA3" w:rsidP="00BB3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3CA3" w:rsidRPr="00DC06F8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 urodzenia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BB3CA3" w:rsidRPr="006C01F7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 operacjami transportowymi tego przedsiębiorstwa;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BB3CA3" w:rsidRPr="006C01F7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>*posiadacz certyfikatu może kierować operacja transportowymi 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BB3CA3" w:rsidRPr="00CB524A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2012r. poz. 1265 ze zm.) zobowiązuję się zgłaszać na piśmie organowi, który udzielił licencji wszelkie zmiany danych, nie później niż w terminie 28 dni od dnia ich powstania. 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BB3CA3" w:rsidRPr="00F77625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BB3CA3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A3"/>
    <w:rsid w:val="00007713"/>
    <w:rsid w:val="00305C28"/>
    <w:rsid w:val="00BB3CA3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Company>Starostwo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2013-11-19T09:43:00Z</dcterms:created>
  <dcterms:modified xsi:type="dcterms:W3CDTF">2013-11-19T09:48:00Z</dcterms:modified>
</cp:coreProperties>
</file>