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70" w:rsidRDefault="00A95C70" w:rsidP="00A95C70">
      <w:pPr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A95C70" w:rsidRDefault="00A95C70" w:rsidP="00A95C70">
      <w:pPr>
        <w:spacing w:before="120" w:after="120" w:line="240" w:lineRule="auto"/>
        <w:jc w:val="right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Załącznik nr 36</w:t>
      </w:r>
    </w:p>
    <w:p w:rsidR="00A95C70" w:rsidRPr="009D116A" w:rsidRDefault="00A95C70" w:rsidP="00A95C70">
      <w:pPr>
        <w:spacing w:before="120" w:after="12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D44C6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Istotne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warunki umowy</w:t>
      </w:r>
      <w:r w:rsidRPr="009D116A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:rsidR="00A95C70" w:rsidRDefault="00A95C70" w:rsidP="00A95C70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9D116A">
        <w:rPr>
          <w:rFonts w:ascii="Arial Narrow" w:eastAsia="Times New Roman" w:hAnsi="Arial Narrow"/>
          <w:sz w:val="24"/>
          <w:szCs w:val="24"/>
          <w:lang w:eastAsia="pl-PL"/>
        </w:rPr>
        <w:t>Wykonawca sporządzi projekt umowy w oparciu następujące istotne postanowienia Zamawiającego:</w:t>
      </w:r>
    </w:p>
    <w:p w:rsidR="004D7AC6" w:rsidRDefault="004D7AC6" w:rsidP="00A95C70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Przewidywany okres kredytowania od 3 sierpnia 2020 r. r. do 31 grudnia 2032 r. – wskazany termin stanowi podstawę wyliczenia ceny (jest to jedynie termin szacunkowy, transze kredytu będą wypłacane zgodnie z potrzebami, najpóźniej do dnia 31.12.2020 r.);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2)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Kwota kredytu ogółem 2.476.000 zł (słownie: dwa miliony czterysta siedemdziesiąt sześć tysięcy złotych </w:t>
      </w:r>
      <w:proofErr w:type="spellStart"/>
      <w:r w:rsidRPr="004D7AC6">
        <w:rPr>
          <w:rFonts w:ascii="Arial Narrow" w:eastAsia="Times New Roman" w:hAnsi="Arial Narrow"/>
          <w:sz w:val="24"/>
          <w:szCs w:val="24"/>
          <w:lang w:eastAsia="pl-PL"/>
        </w:rPr>
        <w:t>złotych</w:t>
      </w:r>
      <w:proofErr w:type="spellEnd"/>
      <w:r w:rsidRPr="004D7AC6">
        <w:rPr>
          <w:rFonts w:ascii="Arial Narrow" w:eastAsia="Times New Roman" w:hAnsi="Arial Narrow"/>
          <w:sz w:val="24"/>
          <w:szCs w:val="24"/>
          <w:lang w:eastAsia="pl-PL"/>
        </w:rPr>
        <w:t>);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3)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Karencja w spłacie kredytu do dnia 31 grudnia 2021 r. – częściowa spłata kredytu w kwocie 151.000 zł po otrzymaniu refundacji ze środków Unii Europejskiej (dopuszcza się wcześniejszą spłatę, bezpośrednio po otrzymaniu refundacji), karencja w spłacie pozostałej kwoty kredytu 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w wysokości 2.325.000 zł do dnia 30 stycznia 2026 roku;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4)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Termin spłaty kredytu, zgodnie z załączonym harmonogramem – do dnia 31 grudnia 2032 r.;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5)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okresie karencji odsetki będą płatne w okresach miesięcznych, na ostatni dzień roboczy danego miesiąca;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6)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okresie spłaty rat kredytowych odsetki będą płatne w terminach rat;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7)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Oprocentowanie kredytu 1-miesięczny WIBOR z ostatniego dnia roboczego miesiąca poprzedzającego okres, za który naliczane są odsetki, powiększony o marżę banku;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8)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Bank nie będzie pobierał jednorazowej prowizji za udzielenie kredytu, w tym za rozpatrzenie wniosku, za wypłatę transz, za zmianę harmonogramu, za </w:t>
      </w:r>
      <w:proofErr w:type="spellStart"/>
      <w:r w:rsidRPr="004D7AC6">
        <w:rPr>
          <w:rFonts w:ascii="Arial Narrow" w:eastAsia="Times New Roman" w:hAnsi="Arial Narrow"/>
          <w:sz w:val="24"/>
          <w:szCs w:val="24"/>
          <w:lang w:eastAsia="pl-PL"/>
        </w:rPr>
        <w:t>aneksowanie</w:t>
      </w:r>
      <w:proofErr w:type="spellEnd"/>
      <w:r w:rsidRPr="004D7AC6">
        <w:rPr>
          <w:rFonts w:ascii="Arial Narrow" w:eastAsia="Times New Roman" w:hAnsi="Arial Narrow"/>
          <w:sz w:val="24"/>
          <w:szCs w:val="24"/>
          <w:lang w:eastAsia="pl-PL"/>
        </w:rPr>
        <w:t xml:space="preserve"> umowy, za wcześniejszą spłatę, za otwarcie i obsługę rachunku na potrzeby kredytu;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9)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Oprocentowanie kredytu będzie naliczone tylko od kwoty faktycznego zadłużenia, Wykonawca nie będzie pobierać opłat i prowizji bankowej od zaangażowania kredytu tj. salda niewykorzystanej części kredytu;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10)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Zabezpieczenie spłaty kredytu stanowić będzie wyłącznie weksel </w:t>
      </w:r>
      <w:proofErr w:type="spellStart"/>
      <w:r w:rsidRPr="004D7AC6">
        <w:rPr>
          <w:rFonts w:ascii="Arial Narrow" w:eastAsia="Times New Roman" w:hAnsi="Arial Narrow"/>
          <w:sz w:val="24"/>
          <w:szCs w:val="24"/>
          <w:lang w:eastAsia="pl-PL"/>
        </w:rPr>
        <w:t>in</w:t>
      </w:r>
      <w:proofErr w:type="spellEnd"/>
      <w:r w:rsidRPr="004D7AC6">
        <w:rPr>
          <w:rFonts w:ascii="Arial Narrow" w:eastAsia="Times New Roman" w:hAnsi="Arial Narrow"/>
          <w:sz w:val="24"/>
          <w:szCs w:val="24"/>
          <w:lang w:eastAsia="pl-PL"/>
        </w:rPr>
        <w:t xml:space="preserve"> blanco z deklaracją wekslową;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11)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Do wyliczenia ceny oraz w trakcie trwania umowy będzie obowiązywał kalendarz rzeczywisty  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tj. rok 365/366 dni (rzeczywista liczba dni w miesiącu);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12)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Zamawiający nie będzie ponosił dodatkowych kosztów związanych z wcześniejszą spłatą całości lub części kredytu;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13)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Wszelkie zmiany umowy muszą być zgodne z art. 144 ustawy Prawo zamówień publicznych. Zamawiający przewiduje, że w ramach umowy można dokonać: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a)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zmiany ze względu na obowiązujące przepisy prawa w zakresie mającym wpływ na realizację przedmiotu zamówienia lub świadczenia stron,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b)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zmian nazwy, siedziby lub innych danych Wykonawcy i Zamawiającego,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c)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zmianę terminu wykonania umowy wynikającą z przedłużających się procedur,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d)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zmiany danych związanych z obsługą administracyjno-organizacyjną umowy (np. zmiana nr rachunku bankowego) - powstania rozbieżności lub niejasności w rozumieniu pojęć użytych w umowie, 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których nie będzie można usunąć w inny sposób, a zmiana będzie umożliwiać usunięcie rozbieżności i doprecyzowanie umowy w celu jednoznacznej interpretacji jej zapisów przez strony,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e)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uzasadnionych przypadkach, gdy konieczna będzie zmiana terminu realizacji zamówienia, Zamawiający może zmienić termin uruchomienia kredytu lub jego spłaty,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f)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w innych uzasadnionych przypadkach, gdy zajdzie konieczność wprowadzenia zmian wynikających z okoliczności, których nie można było przewidzieć w chwili zawarcia umowy,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g)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przypadku, gdy zmiany postanowień zawartej umowy będą korzystne dla Zamawiającego i wynikły one w trakcie realizacji zamówienia,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h)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przypadku, gdy zajdzie uzasadniona konieczność ograniczenia lub rezygnacji z części lub całości kredytu będącego przedmiotem niniejszego zamówienia,</w:t>
      </w:r>
    </w:p>
    <w:p w:rsidR="004D7AC6" w:rsidRPr="004D7AC6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i)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zmniejszenia kwoty kredytu lub rezygnacji z kredytu w całości.</w:t>
      </w:r>
    </w:p>
    <w:p w:rsidR="004D7AC6" w:rsidRPr="009D116A" w:rsidRDefault="004D7AC6" w:rsidP="004D7AC6">
      <w:pPr>
        <w:spacing w:before="120" w:after="12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D7AC6">
        <w:rPr>
          <w:rFonts w:ascii="Arial Narrow" w:eastAsia="Times New Roman" w:hAnsi="Arial Narrow"/>
          <w:sz w:val="24"/>
          <w:szCs w:val="24"/>
          <w:lang w:eastAsia="pl-PL"/>
        </w:rPr>
        <w:t>14)</w:t>
      </w:r>
      <w:r w:rsidRPr="004D7AC6">
        <w:rPr>
          <w:rFonts w:ascii="Arial Narrow" w:eastAsia="Times New Roman" w:hAnsi="Arial Narrow"/>
          <w:sz w:val="24"/>
          <w:szCs w:val="24"/>
          <w:lang w:eastAsia="pl-PL"/>
        </w:rPr>
        <w:tab/>
        <w:t>W przypadku przekroczenia terminu uruchomienia kredytu zaoferowanego przez Wykonawcę, Zamawiającemu przysługuje kara umowna w wysokości 0,01% wysokości kredytu za każdy dzień opóźnienia, chyba że opóźnienie nie wynika z przyczyn zależnych od Wykonawcy.</w:t>
      </w:r>
    </w:p>
    <w:sectPr w:rsidR="004D7AC6" w:rsidRPr="009D116A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712"/>
    <w:multiLevelType w:val="hybridMultilevel"/>
    <w:tmpl w:val="1AF6B386"/>
    <w:lvl w:ilvl="0" w:tplc="CBBEE31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B3FE9344">
      <w:start w:val="1"/>
      <w:numFmt w:val="lowerLetter"/>
      <w:lvlText w:val="%2)"/>
      <w:lvlJc w:val="left"/>
      <w:pPr>
        <w:ind w:left="786" w:hanging="360"/>
      </w:pPr>
      <w:rPr>
        <w:rFonts w:ascii="Arial Narrow" w:eastAsia="Times New Roman" w:hAnsi="Arial Narrow" w:cs="Times New Roman"/>
        <w:b w:val="0"/>
        <w:i w:val="0"/>
      </w:rPr>
    </w:lvl>
    <w:lvl w:ilvl="2" w:tplc="28BAED9A">
      <w:start w:val="1"/>
      <w:numFmt w:val="decimal"/>
      <w:lvlText w:val="%3)"/>
      <w:lvlJc w:val="left"/>
      <w:pPr>
        <w:ind w:left="322" w:hanging="180"/>
      </w:pPr>
      <w:rPr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C70"/>
    <w:rsid w:val="00100C40"/>
    <w:rsid w:val="004D7AC6"/>
    <w:rsid w:val="00A95C70"/>
    <w:rsid w:val="00BE395F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7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2</cp:revision>
  <dcterms:created xsi:type="dcterms:W3CDTF">2020-06-10T12:19:00Z</dcterms:created>
  <dcterms:modified xsi:type="dcterms:W3CDTF">2020-06-10T12:23:00Z</dcterms:modified>
</cp:coreProperties>
</file>