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 w:rsidRPr="00FD1757">
        <w:rPr>
          <w:rFonts w:ascii="Arial Narrow" w:eastAsia="Calibri" w:hAnsi="Arial Narrow"/>
          <w:bCs/>
          <w:lang w:eastAsia="en-US"/>
        </w:rPr>
        <w:t>OR.272.00013.2017</w:t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Załącznik nr 9 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  <w:r w:rsidRPr="00FD1757">
        <w:rPr>
          <w:rFonts w:ascii="Arial Narrow" w:eastAsia="Calibri" w:hAnsi="Arial Narrow"/>
          <w:bCs/>
          <w:lang w:eastAsia="en-US"/>
        </w:rPr>
        <w:t>do Specyfikac</w:t>
      </w:r>
      <w:r>
        <w:rPr>
          <w:rFonts w:ascii="Arial Narrow" w:eastAsia="Calibri" w:hAnsi="Arial Narrow"/>
          <w:bCs/>
          <w:lang w:eastAsia="en-US"/>
        </w:rPr>
        <w:t>ji Istotnych Warunków Z</w:t>
      </w:r>
      <w:r w:rsidRPr="00FD1757">
        <w:rPr>
          <w:rFonts w:ascii="Arial Narrow" w:eastAsia="Calibri" w:hAnsi="Arial Narrow"/>
          <w:bCs/>
          <w:lang w:eastAsia="en-US"/>
        </w:rPr>
        <w:t xml:space="preserve">amówienia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 usług telefonii stacjonarnej i 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E41EEA" w:rsidP="00E41EEA">
      <w:pPr>
        <w:rPr>
          <w:rFonts w:ascii="Arial Narrow" w:hAnsi="Arial Narrow"/>
          <w:b/>
          <w:bCs/>
        </w:rPr>
      </w:pPr>
      <w:r w:rsidRPr="003F67B5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F67B5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3F67B5" w:rsidRDefault="00E41EEA" w:rsidP="00E41EEA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Przedmiotem zamówienia jest: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świadczenie usług telekomunikacyjnych z telefonów stacjonarnych w zakresie połączeń telefonicznych lokalnych, strefowych, międzystrefowych, międzynarodowych, alarmowych i specjalnych, do sieci komórkowych oraz </w:t>
      </w:r>
      <w:proofErr w:type="spellStart"/>
      <w:r w:rsidRPr="003F67B5">
        <w:rPr>
          <w:rFonts w:ascii="Arial Narrow" w:eastAsia="Calibri" w:hAnsi="Arial Narrow"/>
          <w:lang w:eastAsia="en-US"/>
        </w:rPr>
        <w:t>faxowych</w:t>
      </w:r>
      <w:proofErr w:type="spellEnd"/>
      <w:r w:rsidRPr="003F67B5">
        <w:rPr>
          <w:rFonts w:ascii="Arial Narrow" w:eastAsia="Calibri" w:hAnsi="Arial Narrow"/>
          <w:lang w:eastAsia="en-US"/>
        </w:rPr>
        <w:t xml:space="preserve"> na potrzeby Powiatu Krośnieńskiego. </w:t>
      </w:r>
    </w:p>
    <w:p w:rsidR="00E41EEA" w:rsidRPr="003F67B5" w:rsidRDefault="00111725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Świadczenie usługi </w:t>
      </w:r>
      <w:r w:rsidR="00E41EEA" w:rsidRPr="003F67B5">
        <w:rPr>
          <w:rFonts w:ascii="Arial Narrow" w:eastAsia="Calibri" w:hAnsi="Arial Narrow"/>
          <w:lang w:eastAsia="en-US"/>
        </w:rPr>
        <w:t>dostęp</w:t>
      </w:r>
      <w:r w:rsidRPr="003F67B5">
        <w:rPr>
          <w:rFonts w:ascii="Arial Narrow" w:eastAsia="Calibri" w:hAnsi="Arial Narrow"/>
          <w:lang w:eastAsia="en-US"/>
        </w:rPr>
        <w:t>u</w:t>
      </w:r>
      <w:r w:rsidR="00E41EEA" w:rsidRPr="003F67B5">
        <w:rPr>
          <w:rFonts w:ascii="Arial Narrow" w:eastAsia="Calibri" w:hAnsi="Arial Narrow"/>
          <w:lang w:eastAsia="en-US"/>
        </w:rPr>
        <w:t xml:space="preserve"> do Internetu.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świadczenie usług telefonii komórkowej w zakresie połączeń telefonicznych oraz dostępu do Internetu na potrzeby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Usługi telefonii stacjonarnej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9F4190" w:rsidRPr="003F67B5" w:rsidRDefault="009F4190" w:rsidP="009F419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Usługi telefonii stacjonarnej jest zestawienie i utrzymanie łączy telefonicznych w sieci stacjonarnej dla potrzeb Powiatu Krośnieńskiego  drogą kablową. </w:t>
      </w:r>
    </w:p>
    <w:p w:rsidR="009F4190" w:rsidRPr="003F67B5" w:rsidRDefault="009F4190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1. </w:t>
      </w:r>
      <w:r w:rsidRPr="003F67B5">
        <w:rPr>
          <w:rFonts w:ascii="Arial Narrow" w:eastAsia="Calibri" w:hAnsi="Arial Narrow"/>
          <w:b/>
          <w:bCs/>
          <w:lang w:eastAsia="en-US"/>
        </w:rPr>
        <w:t xml:space="preserve">Rozkład ruchu telekomunikacyjnego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Rozkład ruchu dla poszczególnych jednostek i lokalizacji zawiera tabela </w:t>
      </w:r>
      <w:proofErr w:type="spellStart"/>
      <w:r w:rsidRPr="003F67B5">
        <w:rPr>
          <w:rFonts w:ascii="Arial Narrow" w:eastAsia="Calibri" w:hAnsi="Arial Narrow"/>
          <w:i/>
          <w:lang w:eastAsia="en-US"/>
        </w:rPr>
        <w:t>Tabela</w:t>
      </w:r>
      <w:proofErr w:type="spellEnd"/>
      <w:r w:rsidRPr="003F67B5">
        <w:rPr>
          <w:rFonts w:ascii="Arial Narrow" w:eastAsia="Calibri" w:hAnsi="Arial Narrow"/>
          <w:i/>
          <w:lang w:eastAsia="en-US"/>
        </w:rPr>
        <w:t xml:space="preserve"> nr 1</w:t>
      </w:r>
      <w:r w:rsidRPr="003F67B5">
        <w:rPr>
          <w:rFonts w:ascii="Arial Narrow" w:eastAsia="Calibri" w:hAnsi="Arial Narrow"/>
          <w:lang w:eastAsia="en-US"/>
        </w:rPr>
        <w:t>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Podany czas trwania połączeń jest średnią miesięczną wyliczoną na podstawie ruchu telefonicznego w 2015/2017 roku i służy jedynie do zilustrowania wielkości ruchu telefonicznego. Rzeczywisty czas trwania połączeń może być inny i w takim przypadku nie będzie to miało wpływu na koszt połączeń. Wykonawca przy  ustalaniu ceny musi mieć na uwadze fakt, że natężenie ruchu telefonicznego może ulegać zmianom w zależności od potrzeb i zmian w wyposażeniu technicznym, czego nie da się przewidzieć na chwilę opracowania SIWZ. Tym samym nie będzie przysługiwało żadne roszczenie odszkodowawcze w przypadku zmniejszenia ruchu telefonicznego.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2. </w:t>
      </w:r>
      <w:r w:rsidRPr="003F67B5">
        <w:rPr>
          <w:rFonts w:ascii="Arial Narrow" w:eastAsia="Calibri" w:hAnsi="Arial Narrow"/>
          <w:b/>
          <w:bCs/>
          <w:lang w:eastAsia="en-US"/>
        </w:rPr>
        <w:t>Usługi powinny obejmować</w:t>
      </w:r>
      <w:r w:rsidRPr="003F67B5">
        <w:rPr>
          <w:rFonts w:ascii="Arial Narrow" w:eastAsia="Calibri" w:hAnsi="Arial Narrow"/>
          <w:lang w:eastAsia="en-US"/>
        </w:rPr>
        <w:t xml:space="preserve">: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Sekundowe naliczanie czasu realizowanych rozmów telefonicznych dla połączeń lokalnych, międzystrefowych, oraz do sieci GSM bez naliczania jakichkolwiek opłat dodatkowych za połączenia z wyjątkiem opłat za czas połączenia. Nie dopuszcza się żadnych opłat za inicjalizację połączenia. Pozostałe usługi mają być rozliczane według obowiązujących cenników operatora.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Jednolitą stawkę za połączenia do wszystkich sieci i operatorów GSM.</w:t>
      </w:r>
    </w:p>
    <w:p w:rsidR="009F4190" w:rsidRPr="003F67B5" w:rsidRDefault="009F4190" w:rsidP="009F419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połączenia telefoniczne pomiędzy wszystkimi jednostkami Powiatu Krośnieńskiego ze wszystkich numerów bez dodatkowych opłat.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Prezentacje numerów</w:t>
      </w:r>
      <w:r w:rsidR="009F4190" w:rsidRPr="003F67B5">
        <w:rPr>
          <w:rFonts w:ascii="Arial Narrow" w:eastAsia="Calibri" w:hAnsi="Arial Narrow"/>
          <w:lang w:eastAsia="en-US"/>
        </w:rPr>
        <w:t xml:space="preserve"> bez dodatkowych opłat.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Automatyczny wybór prefiksu operatora,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billingi w wersji papierowej dla każdej jednostki wchodzącej w skład Powiatu Krośnieńskiego. </w:t>
      </w:r>
      <w:r w:rsidRPr="003F67B5">
        <w:rPr>
          <w:rFonts w:ascii="Arial Narrow" w:hAnsi="Arial Narrow"/>
        </w:rPr>
        <w:t xml:space="preserve">Biling może wykazywać wszystkie realizowane połączenia jako połączenia </w:t>
      </w:r>
      <w:r w:rsidRPr="003F67B5">
        <w:rPr>
          <w:rFonts w:ascii="Arial Narrow" w:hAnsi="Arial Narrow"/>
        </w:rPr>
        <w:lastRenderedPageBreak/>
        <w:t>z numerów głównych dla łączy ISDN PRA (30B+D) lub ISDN BRA (2B+D). Zamawiający może zrezygnować z bilingu dla wybranych jednostek o czym powiadomi Wykonawcę pisemnie.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faktury dla każdej jednostki wchodzącej w skład Powiatu Krośnieńskiego wysyłane bezpośrednio na adres płatników.</w:t>
      </w:r>
    </w:p>
    <w:p w:rsidR="00E41EEA" w:rsidRPr="003F67B5" w:rsidRDefault="001C3660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konta klienckie dla każdej jednostki Powiatu Krośnieńskiego będącej płatnikiem</w:t>
      </w:r>
      <w:r w:rsidR="00E41EEA" w:rsidRPr="003F67B5">
        <w:rPr>
          <w:rFonts w:ascii="Arial Narrow" w:eastAsia="Calibri" w:hAnsi="Arial Narrow"/>
          <w:lang w:eastAsia="en-US"/>
        </w:rPr>
        <w:t xml:space="preserve">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</w:t>
      </w:r>
      <w:r w:rsidR="001C3660" w:rsidRPr="003F67B5">
        <w:rPr>
          <w:rFonts w:ascii="Arial Narrow" w:eastAsia="Calibri" w:hAnsi="Arial Narrow"/>
          <w:lang w:eastAsia="en-US"/>
        </w:rPr>
        <w:t>ugę bezpłatnej poczty głosowej włączanej wyłącznie na żądanie jednostki. Domyślnie poczta głosowa powinna być wyłączona dla wszystkich jednostek.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020X, 030X, 040X i 070X - dotyczy wszystkich numerów objętych niniejszym postępowaniem.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Pr="003F67B5">
        <w:rPr>
          <w:rFonts w:ascii="Arial Narrow" w:eastAsia="Calibri" w:hAnsi="Arial Narrow"/>
          <w:color w:val="FF0000"/>
          <w:lang w:eastAsia="en-US"/>
        </w:rPr>
        <w:t>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abonamenty za usługi opłacane były z góry, a opłaty za wykonane w danym okresie rozliczeniowym połączenia telefoniczne opłacane z dołu.</w:t>
      </w:r>
    </w:p>
    <w:p w:rsidR="00E41EEA" w:rsidRPr="003F67B5" w:rsidRDefault="00E41EEA" w:rsidP="00E41EEA">
      <w:pPr>
        <w:autoSpaceDE w:val="0"/>
        <w:autoSpaceDN w:val="0"/>
        <w:adjustRightInd w:val="0"/>
        <w:ind w:left="714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Cs/>
          <w:lang w:eastAsia="en-US"/>
        </w:rPr>
        <w:t>3.</w:t>
      </w:r>
      <w:r w:rsidRPr="003F67B5">
        <w:rPr>
          <w:rFonts w:ascii="Arial Narrow" w:eastAsia="Calibri" w:hAnsi="Arial Narrow"/>
          <w:b/>
          <w:bCs/>
          <w:lang w:eastAsia="en-US"/>
        </w:rPr>
        <w:t xml:space="preserve"> Wykaz lokalizacji i łączy które należy zainstalować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1 – w załączeniu do niniejszego opisu.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4. </w:t>
      </w:r>
      <w:r w:rsidRPr="003F67B5">
        <w:rPr>
          <w:rFonts w:ascii="Arial Narrow" w:eastAsia="Calibri" w:hAnsi="Arial Narrow"/>
          <w:b/>
          <w:lang w:eastAsia="en-US"/>
        </w:rPr>
        <w:t>Pozostałe wymagania.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Przy podłączaniu linii należy zachować ciągłości świadczenia usług. Wszelkie przerwy mogą wynikać jedynie z procedur wynikających z właściwych przepisów i m</w:t>
      </w:r>
      <w:r w:rsidR="008762E5" w:rsidRPr="003F67B5">
        <w:rPr>
          <w:rFonts w:ascii="Arial Narrow" w:eastAsia="Calibri" w:hAnsi="Arial Narrow"/>
          <w:lang w:eastAsia="en-US"/>
        </w:rPr>
        <w:t>uszą być wcześniej uzgodnione z </w:t>
      </w:r>
      <w:r w:rsidRPr="003F67B5">
        <w:rPr>
          <w:rFonts w:ascii="Arial Narrow" w:eastAsia="Calibri" w:hAnsi="Arial Narrow"/>
          <w:lang w:eastAsia="en-US"/>
        </w:rPr>
        <w:t xml:space="preserve">Zamawiającym. 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niezmienność numerów wszystkich linii telefonicznych oraz numeracji DDI na wszystkich posiadanych przez zamawiającego łączach cyfrowych i analogowych oraz zachowanie istniejących wiązek PBX wskazanych w </w:t>
      </w:r>
      <w:r w:rsidRPr="003F67B5">
        <w:rPr>
          <w:rFonts w:ascii="Arial Narrow" w:eastAsia="Calibri" w:hAnsi="Arial Narrow"/>
          <w:i/>
          <w:lang w:eastAsia="en-US"/>
        </w:rPr>
        <w:t>Tabeli nr 1</w:t>
      </w:r>
      <w:r w:rsidRPr="003F67B5">
        <w:rPr>
          <w:rFonts w:ascii="Arial Narrow" w:eastAsia="Calibri" w:hAnsi="Arial Narrow"/>
          <w:lang w:eastAsia="en-US"/>
        </w:rPr>
        <w:t xml:space="preserve">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Wykonawca gwarantuje bezpłatne przeniesienie numeracji i jej uruchomienie w swojej sieci </w:t>
      </w:r>
      <w:r w:rsidR="001C3660" w:rsidRPr="00B05FBE">
        <w:rPr>
          <w:rFonts w:ascii="Arial Narrow" w:eastAsia="Calibri" w:hAnsi="Arial Narrow"/>
          <w:b/>
          <w:lang w:eastAsia="en-US"/>
        </w:rPr>
        <w:t>od dnia 01.10.2017</w:t>
      </w:r>
      <w:r w:rsidRPr="00B05FBE">
        <w:rPr>
          <w:rFonts w:ascii="Arial Narrow" w:eastAsia="Calibri" w:hAnsi="Arial Narrow"/>
          <w:b/>
          <w:lang w:eastAsia="en-US"/>
        </w:rPr>
        <w:t xml:space="preserve"> roku,</w:t>
      </w:r>
      <w:r w:rsidRPr="003F67B5">
        <w:rPr>
          <w:rFonts w:ascii="Arial Narrow" w:eastAsia="Calibri" w:hAnsi="Arial Narrow"/>
          <w:lang w:eastAsia="en-US"/>
        </w:rPr>
        <w:t xml:space="preserve"> o ile dla jakiejś lokalizacji nie będzie wskazany inny termin (w </w:t>
      </w:r>
      <w:r w:rsidRPr="003F67B5">
        <w:rPr>
          <w:rFonts w:ascii="Arial Narrow" w:eastAsia="Calibri" w:hAnsi="Arial Narrow"/>
          <w:i/>
          <w:lang w:eastAsia="en-US"/>
        </w:rPr>
        <w:t>Tabeli nr 1</w:t>
      </w:r>
      <w:r w:rsidRPr="003F67B5">
        <w:rPr>
          <w:rFonts w:ascii="Arial Narrow" w:eastAsia="Calibri" w:hAnsi="Arial Narrow"/>
          <w:lang w:eastAsia="en-US"/>
        </w:rPr>
        <w:t xml:space="preserve"> w kolumnie uwagi)  zgodnie z istniejącymi przepisam</w:t>
      </w:r>
      <w:r w:rsidR="007D3F3A" w:rsidRPr="003F67B5">
        <w:rPr>
          <w:rFonts w:ascii="Arial Narrow" w:eastAsia="Calibri" w:hAnsi="Arial Narrow"/>
          <w:lang w:eastAsia="en-US"/>
        </w:rPr>
        <w:t>i oraz na koszt Wykonawcy.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Wyznaczenie minimum jednej dedykowanej osoby odpowiedzialnej za prawidłowe wykonywanie postanowień niniejszej umowy i do kontaktów bezpośrednich.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Wyklucza się realizowanie połączeń w technologii GSM.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Wykonawca gwarantuje możliwość aktywowania nowych łączy w trakcie trwania zawartej umowy w ilości określonej przez Zamawiającego na takich samych warunkach jak dotychczasowe objęte przetargiem w ramach możliwości technicznych Wykonawcy. </w:t>
      </w:r>
      <w:r w:rsidRPr="003F67B5">
        <w:rPr>
          <w:rFonts w:ascii="Arial Narrow" w:hAnsi="Arial Narrow"/>
        </w:rPr>
        <w:t>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Wszystkie czynności związane ze sprawdzeniem możliwości dostępu do obiektów oraz technicznej realizacji usług leży po stronie Wykonawcy.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Termin świadczenia wszystkich usług kończyć się będzie z końcem niniejszej umowy.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 xml:space="preserve">Pojęcie łącze/styk PRA (30B+D), BRA (2B+D) lub PSTN oznacza, że zakończenie sieci musi spełniać standardy oraz obsługiwać protokoły dla tego rodzaju zakończeń.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 przypadku oferowania usług w technologii VoIP dostawca usługi musi być dostawcą łącza na którym usługa będzie świadczona oraz zagwarantować zakończ</w:t>
      </w:r>
      <w:r w:rsidR="001C3660" w:rsidRPr="003F67B5">
        <w:rPr>
          <w:rFonts w:ascii="Arial Narrow" w:hAnsi="Arial Narrow"/>
        </w:rPr>
        <w:t xml:space="preserve">enia łączy zgodne z podpunktem </w:t>
      </w:r>
      <w:r w:rsidR="001C3660" w:rsidRPr="003F67B5">
        <w:rPr>
          <w:rFonts w:ascii="Arial Narrow" w:hAnsi="Arial Narrow"/>
        </w:rPr>
        <w:lastRenderedPageBreak/>
        <w:t>10</w:t>
      </w:r>
      <w:r w:rsidRPr="003F67B5">
        <w:rPr>
          <w:rFonts w:ascii="Arial Narrow" w:hAnsi="Arial Narrow"/>
        </w:rPr>
        <w:t xml:space="preserve">). Przy wykorzystaniu jednego łącza do realizacji połączeń głosowych oraz dostępu do Internetu Wykonawca musi wykazać, że żadna z usług przy maksymalnym natężeniu nie zajmie więcej niż 60% przepustowości łącza. Zamawiający może zażądać wykonania odpowiednich testów </w:t>
      </w:r>
      <w:r w:rsidR="00B86197" w:rsidRPr="003F67B5">
        <w:rPr>
          <w:rFonts w:ascii="Arial Narrow" w:hAnsi="Arial Narrow"/>
        </w:rPr>
        <w:t xml:space="preserve">na koszt Wykonawcy </w:t>
      </w:r>
      <w:r w:rsidRPr="003F67B5">
        <w:rPr>
          <w:rFonts w:ascii="Arial Narrow" w:hAnsi="Arial Narrow"/>
        </w:rPr>
        <w:t>przed podp</w:t>
      </w:r>
      <w:r w:rsidR="00B86197" w:rsidRPr="003F67B5">
        <w:rPr>
          <w:rFonts w:ascii="Arial Narrow" w:hAnsi="Arial Narrow"/>
        </w:rPr>
        <w:t>isaniem umowy</w:t>
      </w:r>
      <w:r w:rsidRPr="003F67B5">
        <w:rPr>
          <w:rFonts w:ascii="Arial Narrow" w:hAnsi="Arial Narrow"/>
        </w:rPr>
        <w:t>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Wszystkie linie telefoniczne mają być zakończone w obecnych lokalizacjach.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 przypadku łączy/linii na których świadczona jest obecnie usługa „Edukacja z Internetem” musi zostać zachowana możliwość dalszego świadczenia tej usługi przez dotychczasowego dostawcę.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 xml:space="preserve">Wykonawca musi zapewnić możliwości techniczne do prowadzenia transmisji </w:t>
      </w:r>
      <w:proofErr w:type="spellStart"/>
      <w:r w:rsidRPr="003F67B5">
        <w:rPr>
          <w:rFonts w:ascii="Arial Narrow" w:hAnsi="Arial Narrow"/>
        </w:rPr>
        <w:t>faxowych</w:t>
      </w:r>
      <w:proofErr w:type="spellEnd"/>
      <w:r w:rsidRPr="003F67B5">
        <w:rPr>
          <w:rFonts w:ascii="Arial Narrow" w:hAnsi="Arial Narrow"/>
        </w:rPr>
        <w:t xml:space="preserve"> dla wszystkich oferowanych łączy w technologii tradycyjnej za wyjątkiem jednostek dla których w uwagach (Tabela nr1) zaznaczono wymóg uruchomienia usługi fax2mail. W tych jednostkach wymaga się zachowania dotychczasowych rozwiązań. Zamawiający zastrzega sobie prawo rozszerzenia tej usługi na inne lokalizacje i numery w miarę możliwości technicznych Wykonawcy.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Usługa dostępu do Internetu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Usługi dostępu do Internetu jest zestawienie i utrzymanie łączy internetowych w sieci stacjonarnej dla potrzeb Powiatu Krośnieńskiego  drogą kablową.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1.  </w:t>
      </w:r>
      <w:r w:rsidRPr="003F67B5">
        <w:rPr>
          <w:rFonts w:ascii="Arial Narrow" w:eastAsia="Calibri" w:hAnsi="Arial Narrow"/>
          <w:b/>
          <w:lang w:eastAsia="en-US"/>
        </w:rPr>
        <w:t>Usługi powinny obejmować: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Zestawienie, uruchomienie i udostępnianie</w:t>
      </w:r>
      <w:r w:rsidR="00B86197" w:rsidRPr="003F67B5">
        <w:rPr>
          <w:rFonts w:ascii="Arial Narrow" w:eastAsia="Calibri" w:hAnsi="Arial Narrow"/>
          <w:lang w:eastAsia="en-US"/>
        </w:rPr>
        <w:t xml:space="preserve"> i utrzymanie</w:t>
      </w:r>
      <w:r w:rsidRPr="003F67B5">
        <w:rPr>
          <w:rFonts w:ascii="Arial Narrow" w:eastAsia="Calibri" w:hAnsi="Arial Narrow"/>
          <w:lang w:eastAsia="en-US"/>
        </w:rPr>
        <w:t xml:space="preserve"> przez całą dobę łączy internetowych</w:t>
      </w:r>
      <w:r w:rsidR="00B86197" w:rsidRPr="003F67B5">
        <w:rPr>
          <w:rFonts w:ascii="Arial Narrow" w:eastAsia="Calibri" w:hAnsi="Arial Narrow"/>
          <w:lang w:eastAsia="en-US"/>
        </w:rPr>
        <w:t xml:space="preserve"> drogą kablową do placówek Zamawiającego </w:t>
      </w:r>
      <w:r w:rsidRPr="003F67B5">
        <w:rPr>
          <w:rFonts w:ascii="Arial Narrow" w:eastAsia="Calibri" w:hAnsi="Arial Narrow"/>
          <w:lang w:eastAsia="en-US"/>
        </w:rPr>
        <w:t xml:space="preserve"> wraz z urządzeniami niezbędnymi do świadczenia usługi.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Przeprowadzenie testów wydajnościowych łącz dla każdej lokalizacji </w:t>
      </w:r>
      <w:r w:rsidR="00B86197" w:rsidRPr="003F67B5">
        <w:rPr>
          <w:rFonts w:ascii="Arial Narrow" w:eastAsia="Calibri" w:hAnsi="Arial Narrow"/>
          <w:lang w:eastAsia="en-US"/>
        </w:rPr>
        <w:t xml:space="preserve">i </w:t>
      </w:r>
      <w:r w:rsidRPr="003F67B5">
        <w:rPr>
          <w:rFonts w:ascii="Arial Narrow" w:eastAsia="Calibri" w:hAnsi="Arial Narrow"/>
          <w:lang w:eastAsia="en-US"/>
        </w:rPr>
        <w:t xml:space="preserve">dostarczenie ich wyników do Zamawiającego. Średnia prędkość łączy w czasie testów musi wynosić minimum </w:t>
      </w:r>
      <w:r w:rsidR="006D536B" w:rsidRPr="003F67B5">
        <w:rPr>
          <w:rFonts w:ascii="Arial Narrow" w:eastAsia="Calibri" w:hAnsi="Arial Narrow"/>
          <w:lang w:eastAsia="en-US"/>
        </w:rPr>
        <w:t>75</w:t>
      </w:r>
      <w:r w:rsidRPr="003F67B5">
        <w:rPr>
          <w:rFonts w:ascii="Arial Narrow" w:eastAsia="Calibri" w:hAnsi="Arial Narrow"/>
          <w:lang w:eastAsia="en-US"/>
        </w:rPr>
        <w:t>% deklarowanej.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Zapewnienie przez 24 godziny na dobę przez 7 dni w tygodniu drogą kablową stałego dostępu do Internetu o parametrach nie niższych niż podane w tabeli w pkt 2.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dostępnego przez 365 dni w roku.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faktury dla każdej jednostki podległej</w:t>
      </w:r>
      <w:r w:rsidRPr="003F67B5">
        <w:rPr>
          <w:rFonts w:ascii="Arial Narrow" w:eastAsia="Calibri" w:hAnsi="Arial Narrow"/>
          <w:color w:val="FF0000"/>
          <w:lang w:eastAsia="en-US"/>
        </w:rPr>
        <w:t xml:space="preserve"> </w:t>
      </w:r>
      <w:r w:rsidRPr="003F67B5">
        <w:rPr>
          <w:rFonts w:ascii="Arial Narrow" w:eastAsia="Calibri" w:hAnsi="Arial Narrow"/>
          <w:lang w:eastAsia="en-US"/>
        </w:rPr>
        <w:t xml:space="preserve">Powiatu Krośnieńskiego.  </w:t>
      </w:r>
    </w:p>
    <w:p w:rsidR="0025077C" w:rsidRPr="003F67B5" w:rsidRDefault="0025077C" w:rsidP="0025077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Odrębne konta klienckie dla każdej jednostki Powiatu Krośnieńskiego będącej płatnikiem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jest jednemu miesiącowi kalendarzowemu liczonemu od pierwszego do ostatniego dnia miesiąca.</w:t>
      </w:r>
      <w:r w:rsidR="002624B7" w:rsidRPr="003F67B5">
        <w:rPr>
          <w:rFonts w:ascii="Arial Narrow" w:eastAsia="Calibri" w:hAnsi="Arial Narrow"/>
          <w:lang w:eastAsia="en-US"/>
        </w:rPr>
        <w:t xml:space="preserve"> </w:t>
      </w:r>
      <w:r w:rsidR="002624B7" w:rsidRPr="003F67B5">
        <w:rPr>
          <w:rFonts w:ascii="Arial Narrow" w:hAnsi="Arial Narrow"/>
        </w:rPr>
        <w:t>Zamawiający dopuszcza, aby abonamenty za usługi opłacane były z góry.</w:t>
      </w:r>
    </w:p>
    <w:p w:rsidR="00E41EEA" w:rsidRPr="003F67B5" w:rsidRDefault="00E41EEA" w:rsidP="00E41EEA">
      <w:pPr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2.  </w:t>
      </w:r>
      <w:r w:rsidRPr="003F67B5">
        <w:rPr>
          <w:rFonts w:ascii="Arial Narrow" w:eastAsia="Calibri" w:hAnsi="Arial Narrow"/>
          <w:b/>
          <w:lang w:eastAsia="en-US"/>
        </w:rPr>
        <w:t>Wykaz lokalizacji i łączy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2 - w załączeniu do niniejszego opisu.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3. </w:t>
      </w: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E41EEA" w:rsidRPr="003F67B5" w:rsidRDefault="00E41EEA" w:rsidP="00E41E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Przy podłączaniu linii należy zachować ciągłości świadczenia usług. Wszelkie przerwy mogą</w:t>
      </w:r>
    </w:p>
    <w:p w:rsidR="00E41EEA" w:rsidRPr="003F67B5" w:rsidRDefault="00E41EEA" w:rsidP="00E41EEA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     wynikać jedynie z procedur wynikających z właściwych przepisów i muszą być wcześniej</w:t>
      </w:r>
    </w:p>
    <w:p w:rsidR="000F0BD0" w:rsidRPr="003F67B5" w:rsidRDefault="00E41EEA" w:rsidP="000F0BD0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     uzgodnione z Zamawiającym.</w:t>
      </w:r>
    </w:p>
    <w:p w:rsidR="00E41EEA" w:rsidRPr="003F67B5" w:rsidRDefault="00E41EEA" w:rsidP="00E41E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Wykonawca uruchomi wszystkie</w:t>
      </w:r>
      <w:r w:rsidR="0025077C" w:rsidRPr="003F67B5">
        <w:rPr>
          <w:rFonts w:ascii="Arial Narrow" w:eastAsia="Calibri" w:hAnsi="Arial Narrow"/>
          <w:lang w:eastAsia="en-US"/>
        </w:rPr>
        <w:t xml:space="preserve"> usługi w terminie </w:t>
      </w:r>
      <w:r w:rsidR="0025077C" w:rsidRPr="00B05FBE">
        <w:rPr>
          <w:rFonts w:ascii="Arial Narrow" w:eastAsia="Calibri" w:hAnsi="Arial Narrow"/>
          <w:b/>
          <w:lang w:eastAsia="en-US"/>
        </w:rPr>
        <w:t xml:space="preserve">od </w:t>
      </w:r>
      <w:r w:rsidR="00B05FBE" w:rsidRPr="00B05FBE">
        <w:rPr>
          <w:rFonts w:ascii="Arial Narrow" w:eastAsia="Calibri" w:hAnsi="Arial Narrow"/>
          <w:b/>
          <w:lang w:eastAsia="en-US"/>
        </w:rPr>
        <w:t xml:space="preserve">dnia </w:t>
      </w:r>
      <w:r w:rsidR="0025077C" w:rsidRPr="00B05FBE">
        <w:rPr>
          <w:rFonts w:ascii="Arial Narrow" w:eastAsia="Calibri" w:hAnsi="Arial Narrow"/>
          <w:b/>
          <w:lang w:eastAsia="en-US"/>
        </w:rPr>
        <w:t>01.10.2017</w:t>
      </w:r>
      <w:r w:rsidRPr="00B05FBE">
        <w:rPr>
          <w:rFonts w:ascii="Arial Narrow" w:eastAsia="Calibri" w:hAnsi="Arial Narrow"/>
          <w:b/>
          <w:lang w:eastAsia="en-US"/>
        </w:rPr>
        <w:t xml:space="preserve"> roku</w:t>
      </w:r>
      <w:r w:rsidRPr="003F67B5">
        <w:rPr>
          <w:rFonts w:ascii="Arial Narrow" w:eastAsia="Calibri" w:hAnsi="Arial Narrow"/>
          <w:lang w:eastAsia="en-US"/>
        </w:rPr>
        <w:t>, o ile dla jakiejś lokalizacji nie będzie wskazany inny termin</w:t>
      </w:r>
    </w:p>
    <w:p w:rsidR="000F0BD0" w:rsidRPr="003F67B5" w:rsidRDefault="000F0BD0" w:rsidP="000F0BD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sobie możliwość składania, przez osoby upoważnione przez Zmawiającego, reklamacji, zmian lokalizacji stacji, potrzeb instalacji nowych stacji abonenckich </w:t>
      </w:r>
      <w:r w:rsidRPr="003F67B5">
        <w:rPr>
          <w:rFonts w:ascii="Arial Narrow" w:eastAsia="Calibri" w:hAnsi="Arial Narrow"/>
          <w:lang w:eastAsia="en-US"/>
        </w:rPr>
        <w:lastRenderedPageBreak/>
        <w:t>w ramach możliwości technicznych Wykonawcy drogą elektroniczną (e-mail), telefoniczną lub pisemnie.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Wymagane parametry łącz zawarte w </w:t>
      </w:r>
      <w:r w:rsidRPr="003F67B5">
        <w:rPr>
          <w:rFonts w:ascii="Arial Narrow" w:eastAsia="Calibri" w:hAnsi="Arial Narrow"/>
          <w:i/>
          <w:lang w:eastAsia="en-US"/>
        </w:rPr>
        <w:t>Tabeli nr 2</w:t>
      </w:r>
      <w:r w:rsidRPr="003F67B5">
        <w:rPr>
          <w:rFonts w:ascii="Arial Narrow" w:eastAsia="Calibri" w:hAnsi="Arial Narrow"/>
          <w:lang w:eastAsia="en-US"/>
        </w:rPr>
        <w:t xml:space="preserve">  należy traktować jako minimalne.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Infrastruktura informatyczna przyłączy Usługodawcy nie może opierać się na sieci WIFI oraz GSM.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Wymagana ilość stałych adresów IP w </w:t>
      </w:r>
      <w:r w:rsidRPr="003F67B5">
        <w:rPr>
          <w:rFonts w:ascii="Arial Narrow" w:eastAsia="Calibri" w:hAnsi="Arial Narrow"/>
          <w:i/>
          <w:lang w:eastAsia="en-US"/>
        </w:rPr>
        <w:t xml:space="preserve">Tabeli nr 2 </w:t>
      </w:r>
      <w:r w:rsidRPr="003F67B5">
        <w:rPr>
          <w:rFonts w:ascii="Arial Narrow" w:eastAsia="Calibri" w:hAnsi="Arial Narrow"/>
          <w:lang w:eastAsia="en-US"/>
        </w:rPr>
        <w:t xml:space="preserve">oznacza ilość adresów do dyspozycji użytkownika (nie zawiera adresu modemu, bramy i </w:t>
      </w:r>
      <w:proofErr w:type="spellStart"/>
      <w:r w:rsidRPr="003F67B5">
        <w:rPr>
          <w:rFonts w:ascii="Arial Narrow" w:eastAsia="Calibri" w:hAnsi="Arial Narrow"/>
          <w:lang w:eastAsia="en-US"/>
        </w:rPr>
        <w:t>brodcast</w:t>
      </w:r>
      <w:proofErr w:type="spellEnd"/>
      <w:r w:rsidRPr="003F67B5">
        <w:rPr>
          <w:rFonts w:ascii="Arial Narrow" w:eastAsia="Calibri" w:hAnsi="Arial Narrow"/>
          <w:lang w:eastAsia="en-US"/>
        </w:rPr>
        <w:t>).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 przypadku zastosowania łącza synchronicznego - czas synchronizacji nie dłuższy niż </w:t>
      </w:r>
      <w:r w:rsidR="0025077C" w:rsidRPr="003F67B5">
        <w:rPr>
          <w:rFonts w:ascii="Arial Narrow" w:eastAsia="Calibri" w:hAnsi="Arial Narrow"/>
          <w:lang w:eastAsia="en-US"/>
        </w:rPr>
        <w:t xml:space="preserve">1 </w:t>
      </w:r>
      <w:r w:rsidRPr="003F67B5">
        <w:rPr>
          <w:rFonts w:ascii="Arial Narrow" w:eastAsia="Calibri" w:hAnsi="Arial Narrow"/>
          <w:lang w:eastAsia="en-US"/>
        </w:rPr>
        <w:t xml:space="preserve">minuta.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Brak blokad portów i innych ograniczeń łącza niemożliwych do nieodpłatnego wyłączenia.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Wszelkie konserwacje, montaż, ulepszenia i inne czynności związane z urządzeniem dostępowym i łączem niezbędne do wykonania w trakcie realizacji umowy należą do obowiązków Wykonawcy bez dodatkowych opłat z tego tytułu.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Wyznaczenie minimum jednej dedykowanej osoby odpowiedzialnej za prawidłowe wykonywanie postanowień niniejszej umowy i do kontaktów bezpośrednich.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Możliwość aktywowania nowych łączy w trakcie trwania zawartej umowy w ilości określonej przez Zamawiającego na takich samych warunkach jak dotychczasowe objęte przetargiem.</w:t>
      </w:r>
      <w:r w:rsidRPr="003F67B5">
        <w:rPr>
          <w:rFonts w:ascii="Arial Narrow" w:hAnsi="Arial Narrow"/>
        </w:rPr>
        <w:t xml:space="preserve"> 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Wszystkie czynności związane ze sprawdzeniem możliwości dostępu do obiektów oraz technicznej realizacji usług związane z przygotowaniem oferty należą do Wykonawcy.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Termin świadczenia wszystkich usług kończyć się będzie z końcem niniejszej umowy.</w:t>
      </w:r>
    </w:p>
    <w:p w:rsidR="00E41EEA" w:rsidRPr="003F67B5" w:rsidRDefault="00E41EEA" w:rsidP="00E41EEA">
      <w:pPr>
        <w:numPr>
          <w:ilvl w:val="0"/>
          <w:numId w:val="6"/>
        </w:numPr>
        <w:ind w:left="284" w:right="28" w:firstLine="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Pod pojęciem minimalnych parametrów łącza należy rozumieć zapewnie łącza dostępu do Internetu typu asymetrycznego (o ile nie wskazano inaczej) o przepustowości maksymalnej wskazanej w tabeli, przepustowości średniej nie mniejszej niż 75% deklarowanej i nie mniejszej niż 1 </w:t>
      </w:r>
      <w:proofErr w:type="spellStart"/>
      <w:r w:rsidRPr="003F67B5">
        <w:rPr>
          <w:rFonts w:ascii="Arial Narrow" w:hAnsi="Arial Narrow"/>
        </w:rPr>
        <w:t>Mbit</w:t>
      </w:r>
      <w:proofErr w:type="spellEnd"/>
      <w:r w:rsidRPr="003F67B5">
        <w:rPr>
          <w:rFonts w:ascii="Arial Narrow" w:hAnsi="Arial Narrow"/>
        </w:rPr>
        <w:t xml:space="preserve">/s przy odbieraniu i 256 </w:t>
      </w:r>
      <w:proofErr w:type="spellStart"/>
      <w:r w:rsidRPr="003F67B5">
        <w:rPr>
          <w:rFonts w:ascii="Arial Narrow" w:hAnsi="Arial Narrow"/>
        </w:rPr>
        <w:t>kbit</w:t>
      </w:r>
      <w:proofErr w:type="spellEnd"/>
      <w:r w:rsidRPr="003F67B5">
        <w:rPr>
          <w:rFonts w:ascii="Arial Narrow" w:hAnsi="Arial Narrow"/>
        </w:rPr>
        <w:t xml:space="preserve">/s przy wysyłaniu danych do sieci Internet. Zamawiający może w trakcie realizacji umowy zażądać przeprowadzenia odpowiednich testów na koszt Wykonawcy przez cały czas trwania umowy. </w:t>
      </w:r>
    </w:p>
    <w:p w:rsidR="00E41EEA" w:rsidRPr="003F67B5" w:rsidRDefault="00E41EEA" w:rsidP="00E41EEA">
      <w:pPr>
        <w:numPr>
          <w:ilvl w:val="0"/>
          <w:numId w:val="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wyraża zgodę na świadczenie usług dostępu do Internetu na bazie istniejących łączy telefonicznych.</w:t>
      </w:r>
    </w:p>
    <w:p w:rsidR="00E41EEA" w:rsidRPr="003F67B5" w:rsidRDefault="00E41EEA" w:rsidP="00E41EEA">
      <w:pPr>
        <w:numPr>
          <w:ilvl w:val="0"/>
          <w:numId w:val="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Wszystkie punkty dostępu do Internetu mają być zakończone w obecnych lokalizacjach.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111725" w:rsidP="00712933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Usługi telefonii komórkowej</w:t>
      </w:r>
    </w:p>
    <w:p w:rsidR="00E41EEA" w:rsidRPr="003F67B5" w:rsidRDefault="00E41EEA" w:rsidP="00E41EEA">
      <w:pPr>
        <w:rPr>
          <w:rFonts w:ascii="Arial Narrow" w:eastAsia="Calibri" w:hAnsi="Arial Narrow"/>
          <w:lang w:eastAsia="en-US"/>
        </w:rPr>
      </w:pPr>
    </w:p>
    <w:p w:rsidR="00111725" w:rsidRPr="003F67B5" w:rsidRDefault="00111725" w:rsidP="0035736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jest: </w:t>
      </w:r>
      <w:r w:rsidRPr="003F67B5">
        <w:rPr>
          <w:rFonts w:ascii="Arial Narrow" w:hAnsi="Arial Narrow"/>
        </w:rPr>
        <w:t>Usługa telefonii komórkowej świadczonej na rzecz Zamawiającego</w:t>
      </w:r>
      <w:r w:rsidR="0057347E" w:rsidRPr="003F67B5">
        <w:rPr>
          <w:rFonts w:ascii="Arial Narrow" w:hAnsi="Arial Narrow"/>
        </w:rPr>
        <w:t xml:space="preserve"> oraz dostawa telefonów komórkowych wraz z akcesoriami</w:t>
      </w:r>
      <w:r w:rsidRPr="003F67B5">
        <w:rPr>
          <w:rFonts w:ascii="Arial Narrow" w:hAnsi="Arial Narrow"/>
        </w:rPr>
        <w:t xml:space="preserve">. </w:t>
      </w:r>
    </w:p>
    <w:p w:rsidR="00111725" w:rsidRPr="003F67B5" w:rsidRDefault="00357365" w:rsidP="00111725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1</w:t>
      </w:r>
      <w:r w:rsidR="00111725" w:rsidRPr="003F67B5">
        <w:rPr>
          <w:rFonts w:ascii="Arial Narrow" w:hAnsi="Arial Narrow"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3605BA" w:rsidRPr="003F67B5">
        <w:rPr>
          <w:rFonts w:ascii="Arial Narrow" w:hAnsi="Arial Narrow"/>
        </w:rPr>
        <w:t>38</w:t>
      </w:r>
      <w:r w:rsidRPr="003F67B5">
        <w:rPr>
          <w:rFonts w:ascii="Arial Narrow" w:hAnsi="Arial Narrow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39417E" w:rsidRPr="003F67B5">
        <w:rPr>
          <w:rFonts w:ascii="Arial Narrow" w:hAnsi="Arial Narrow"/>
        </w:rPr>
        <w:t xml:space="preserve">, uruchomienie </w:t>
      </w:r>
      <w:r w:rsidR="001965DB" w:rsidRPr="003F67B5">
        <w:rPr>
          <w:rFonts w:ascii="Arial Narrow" w:hAnsi="Arial Narrow"/>
        </w:rPr>
        <w:t>9</w:t>
      </w:r>
      <w:r w:rsidR="0039417E" w:rsidRPr="003F67B5">
        <w:rPr>
          <w:rFonts w:ascii="Arial Narrow" w:hAnsi="Arial Narrow"/>
        </w:rPr>
        <w:t xml:space="preserve"> nowych numerów</w:t>
      </w:r>
      <w:r w:rsidR="00305757" w:rsidRPr="003F67B5">
        <w:rPr>
          <w:rFonts w:ascii="Arial Narrow" w:hAnsi="Arial Narrow"/>
        </w:rPr>
        <w:t>,</w:t>
      </w:r>
      <w:r w:rsidR="001E3EF6" w:rsidRPr="003F67B5">
        <w:rPr>
          <w:rFonts w:ascii="Arial Narrow" w:hAnsi="Arial Narrow"/>
        </w:rPr>
        <w:t xml:space="preserve"> </w:t>
      </w:r>
      <w:r w:rsidR="0039417E" w:rsidRPr="003F67B5">
        <w:rPr>
          <w:rFonts w:ascii="Arial Narrow" w:hAnsi="Arial Narrow"/>
        </w:rPr>
        <w:t>dostarczenie</w:t>
      </w:r>
      <w:r w:rsidRPr="003F67B5">
        <w:rPr>
          <w:rFonts w:ascii="Arial Narrow" w:hAnsi="Arial Narrow"/>
        </w:rPr>
        <w:t xml:space="preserve"> </w:t>
      </w:r>
      <w:r w:rsidR="003605BA" w:rsidRPr="003F67B5">
        <w:rPr>
          <w:rFonts w:ascii="Arial Narrow" w:hAnsi="Arial Narrow"/>
        </w:rPr>
        <w:t>37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efonicznych, oraz uruchomienie 2</w:t>
      </w:r>
      <w:r w:rsidR="00305757" w:rsidRPr="003F67B5">
        <w:rPr>
          <w:rFonts w:ascii="Arial Narrow" w:hAnsi="Arial Narrow"/>
        </w:rPr>
        <w:t xml:space="preserve"> aktywacji wyłącznie do transmisji danych (Internet)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N</w:t>
      </w:r>
      <w:r w:rsidR="00B30106" w:rsidRPr="003F67B5">
        <w:rPr>
          <w:rFonts w:ascii="Arial Narrow" w:hAnsi="Arial Narrow"/>
        </w:rPr>
        <w:t>ielimitowane połączenia głosowe oraz SMS i MMS do wszystkich sieci komórkowych i stacjonarnych na terenie RP za wyjątkiem połączeń na numery specjalne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3E07B0" w:rsidRPr="003F67B5">
        <w:rPr>
          <w:rFonts w:ascii="Arial Narrow" w:hAnsi="Arial Narrow"/>
        </w:rPr>
        <w:t>5</w:t>
      </w:r>
      <w:r w:rsidR="00B30106" w:rsidRPr="003F67B5">
        <w:rPr>
          <w:rFonts w:ascii="Arial Narrow" w:hAnsi="Arial Narrow"/>
        </w:rPr>
        <w:t xml:space="preserve"> GB</w:t>
      </w:r>
      <w:r w:rsidR="00305757" w:rsidRPr="003F67B5">
        <w:rPr>
          <w:rFonts w:ascii="Arial Narrow" w:hAnsi="Arial Narrow"/>
        </w:rPr>
        <w:t xml:space="preserve"> dla wszystkich aktywacji za wyjątkiem przeznaczonej do transmisji danych oraz </w:t>
      </w:r>
      <w:r w:rsidR="003E07B0" w:rsidRPr="003F67B5">
        <w:rPr>
          <w:rFonts w:ascii="Arial Narrow" w:hAnsi="Arial Narrow"/>
        </w:rPr>
        <w:t>nielimitowany pakiet internetowy</w:t>
      </w:r>
      <w:r w:rsidR="00305757" w:rsidRPr="003F67B5">
        <w:rPr>
          <w:rFonts w:ascii="Arial Narrow" w:hAnsi="Arial Narrow"/>
        </w:rPr>
        <w:t xml:space="preserve"> dla aktywacji prz</w:t>
      </w:r>
      <w:r w:rsidR="003C1F97" w:rsidRPr="003F67B5">
        <w:rPr>
          <w:rFonts w:ascii="Arial Narrow" w:hAnsi="Arial Narrow"/>
        </w:rPr>
        <w:t>eznaczonej do transmisji danych;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>edną stawkę za transmisję danych na terenie kraju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lastRenderedPageBreak/>
        <w:t>B</w:t>
      </w:r>
      <w:r w:rsidR="002624B7" w:rsidRPr="003F67B5">
        <w:rPr>
          <w:rFonts w:ascii="Arial Narrow" w:eastAsia="Calibri" w:hAnsi="Arial Narrow"/>
          <w:lang w:eastAsia="en-US"/>
        </w:rPr>
        <w:t>ezpłatne połączenia telefoniczne pomiędzy numerami wszystkich jednostek Powiatu Krośnieńskiego ze wszystkic</w:t>
      </w:r>
      <w:r w:rsidR="003C1F97" w:rsidRPr="003F67B5">
        <w:rPr>
          <w:rFonts w:ascii="Arial Narrow" w:eastAsia="Calibri" w:hAnsi="Arial Narrow"/>
          <w:lang w:eastAsia="en-US"/>
        </w:rPr>
        <w:t>h numerów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dla każdej aktywacji. </w:t>
      </w:r>
      <w:r w:rsidR="002624B7" w:rsidRPr="003F67B5">
        <w:rPr>
          <w:rFonts w:ascii="Arial Narrow" w:hAnsi="Arial Narrow"/>
        </w:rPr>
        <w:t>Zamawiający może zrezygnować z bilingu dla wybranych jednostek o cz</w:t>
      </w:r>
      <w:r w:rsidR="003C1F97" w:rsidRPr="003F67B5">
        <w:rPr>
          <w:rFonts w:ascii="Arial Narrow" w:hAnsi="Arial Narrow"/>
        </w:rPr>
        <w:t>ym powiadomi Wykonawcę pisemnie;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 xml:space="preserve">drębne faktury dla każdej jednostki wchodzącej w skład Powiatu Krośnieńskiego wysyłane </w:t>
      </w:r>
      <w:r w:rsidR="003C1F97" w:rsidRPr="003F67B5">
        <w:rPr>
          <w:rFonts w:ascii="Arial Narrow" w:eastAsia="Calibri" w:hAnsi="Arial Narrow"/>
          <w:lang w:eastAsia="en-US"/>
        </w:rPr>
        <w:t>bezpośrednio na adres płatników;</w:t>
      </w:r>
    </w:p>
    <w:p w:rsidR="002624B7" w:rsidRPr="003F67B5" w:rsidRDefault="0039417E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>drębne konta klienckie dla każdej jednostki Powiatu Krośnieńskiego będącej płatnikiem</w:t>
      </w:r>
      <w:r w:rsidR="000F0BD0" w:rsidRPr="003F67B5">
        <w:rPr>
          <w:rFonts w:ascii="Arial Narrow" w:hAnsi="Arial Narrow"/>
        </w:rPr>
        <w:t xml:space="preserve"> Wszystkie aktywacje należące do jednostki muszą być przypisane do jednego konta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włączanej wyłącznie na żądanie jednostki.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3F67B5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</w:t>
      </w:r>
      <w:r w:rsidR="000F0BD0" w:rsidRPr="003F67B5">
        <w:rPr>
          <w:rFonts w:ascii="Arial Narrow" w:hAnsi="Arial Narrow"/>
        </w:rPr>
        <w:t xml:space="preserve">ostępność telefonicznego biura obsługi klienta bez dodatkowych opłat za połączenia;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>menty za usługi opłacane były 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Pr="003F67B5" w:rsidRDefault="00656F5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przenoszenie numerów pomiędzy jednostkami Powiatu, w tym również do jednostek nie ujętych w obecnej umowie.</w:t>
      </w:r>
    </w:p>
    <w:p w:rsidR="00B30106" w:rsidRPr="003F67B5" w:rsidRDefault="00B30106" w:rsidP="00B301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 xml:space="preserve">Wykaz numerów 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3 - w załączeniu do niniejszego opisu.</w:t>
      </w:r>
    </w:p>
    <w:p w:rsidR="00B30106" w:rsidRPr="003F67B5" w:rsidRDefault="00B30106" w:rsidP="00C111C7">
      <w:pPr>
        <w:pStyle w:val="Akapitzlist"/>
        <w:ind w:left="36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Średni miesięczny łączny czas wykonywanych połączeń dla wszystkich aktywacji wynosi około 5300 minut</w:t>
      </w:r>
    </w:p>
    <w:p w:rsidR="002624B7" w:rsidRPr="003F67B5" w:rsidRDefault="00B30106" w:rsidP="002624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uruchomi wszystkie usługi w terminie </w:t>
      </w:r>
      <w:r w:rsidRPr="00DC70EE">
        <w:rPr>
          <w:rFonts w:ascii="Arial Narrow" w:hAnsi="Arial Narrow"/>
          <w:b/>
        </w:rPr>
        <w:t>od</w:t>
      </w:r>
      <w:r w:rsidR="00DC70EE" w:rsidRPr="00DC70EE">
        <w:rPr>
          <w:rFonts w:ascii="Arial Narrow" w:hAnsi="Arial Narrow"/>
          <w:b/>
        </w:rPr>
        <w:t xml:space="preserve"> dnia</w:t>
      </w:r>
      <w:r w:rsidRPr="00DC70EE">
        <w:rPr>
          <w:rFonts w:ascii="Arial Narrow" w:hAnsi="Arial Narrow"/>
          <w:b/>
        </w:rPr>
        <w:t xml:space="preserve"> 02.10.2017.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§6 ust. 8 pkt 1 rozporządzenia Ministra Infrastruktury z dnia 16 grudnia 2010 r. w sprawie warunków korzystania z uprawnień w publicznych sieciach telefoniczn</w:t>
      </w:r>
      <w:r>
        <w:rPr>
          <w:rFonts w:ascii="Arial Narrow" w:hAnsi="Arial Narrow"/>
        </w:rPr>
        <w:t>ych (Dz.U. Nr 249, poz. 1670).”</w:t>
      </w:r>
    </w:p>
    <w:p w:rsidR="00111725" w:rsidRPr="003F67B5" w:rsidRDefault="00111725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bookmarkStart w:id="0" w:name="_GoBack"/>
      <w:bookmarkEnd w:id="0"/>
      <w:r w:rsidRPr="003F67B5">
        <w:rPr>
          <w:rFonts w:ascii="Arial Narrow" w:hAnsi="Arial Narrow"/>
        </w:rPr>
        <w:t>Możliwość aktywowania nowych numerów telefonów komórkowych 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zapewni na nowo aktywowanych działanie usług</w:t>
      </w:r>
      <w:r w:rsidR="00C44E6F" w:rsidRPr="003F67B5">
        <w:rPr>
          <w:rFonts w:ascii="Arial Narrow" w:hAnsi="Arial Narrow"/>
        </w:rPr>
        <w:t>,</w:t>
      </w:r>
      <w:r w:rsidRPr="003F67B5">
        <w:rPr>
          <w:rFonts w:ascii="Arial Narrow" w:hAnsi="Arial Narrow"/>
        </w:rPr>
        <w:t xml:space="preserve"> o których mowa w SIWZ od dnia przeniesienia lub aktywacji takiego numeru bez potrzeby ich specjalnego dodatkowego uruchamiania lub czekania do początku nowego okresu rozliczeniowego.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Opłata za zestaw telefoniczny  przekraczająca </w:t>
      </w:r>
      <w:r w:rsidR="00357365" w:rsidRPr="003F67B5">
        <w:rPr>
          <w:rFonts w:ascii="Arial Narrow" w:hAnsi="Arial Narrow"/>
        </w:rPr>
        <w:t>24</w:t>
      </w:r>
      <w:r w:rsidRPr="003F67B5">
        <w:rPr>
          <w:rFonts w:ascii="Arial Narrow" w:hAnsi="Arial Narrow"/>
        </w:rPr>
        <w:t xml:space="preserve"> PLN brutto musi być równo rozłożona na cały czas trwania umowy tj. w ratach na 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aktywację/dezaktywację </w:t>
      </w:r>
      <w:proofErr w:type="spellStart"/>
      <w:r w:rsidRPr="003F67B5">
        <w:rPr>
          <w:rFonts w:ascii="Arial Narrow" w:hAnsi="Arial Narrow"/>
        </w:rPr>
        <w:t>roamingu</w:t>
      </w:r>
      <w:proofErr w:type="spellEnd"/>
      <w:r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 internetowego</w:t>
      </w:r>
      <w:r w:rsidR="006D6A39" w:rsidRPr="003F67B5">
        <w:rPr>
          <w:rFonts w:ascii="Arial Narrow" w:hAnsi="Arial Narrow"/>
        </w:rPr>
        <w:t>.</w:t>
      </w:r>
    </w:p>
    <w:p w:rsidR="0057347E" w:rsidRPr="003F67B5" w:rsidRDefault="0057347E" w:rsidP="0057347E">
      <w:pPr>
        <w:ind w:left="720"/>
        <w:jc w:val="both"/>
        <w:rPr>
          <w:rFonts w:ascii="Arial Narrow" w:hAnsi="Arial Narrow"/>
        </w:rPr>
      </w:pPr>
    </w:p>
    <w:p w:rsidR="00357365" w:rsidRPr="003F67B5" w:rsidRDefault="00357365" w:rsidP="00357365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t xml:space="preserve">Dostawa telefonów komórkowych wraz z akcesoriami </w:t>
      </w:r>
    </w:p>
    <w:p w:rsidR="00357365" w:rsidRPr="003F67B5" w:rsidRDefault="00357365" w:rsidP="00357365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Minimalne wymagania sprzętowe: 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7 </w:t>
      </w:r>
      <w:r w:rsidR="00357365" w:rsidRPr="003F67B5">
        <w:rPr>
          <w:rFonts w:ascii="Arial Narrow" w:hAnsi="Arial Narrow"/>
        </w:rPr>
        <w:t>zestaw</w:t>
      </w:r>
      <w:r w:rsidR="006D6A39" w:rsidRPr="003F67B5">
        <w:rPr>
          <w:rFonts w:ascii="Arial Narrow" w:hAnsi="Arial Narrow"/>
        </w:rPr>
        <w:t>ów</w:t>
      </w:r>
      <w:r w:rsidR="00357365" w:rsidRPr="003F67B5">
        <w:rPr>
          <w:rFonts w:ascii="Arial Narrow" w:hAnsi="Arial Narrow"/>
        </w:rPr>
        <w:t xml:space="preserve"> określon</w:t>
      </w:r>
      <w:r w:rsidR="006D6A39" w:rsidRPr="003F67B5">
        <w:rPr>
          <w:rFonts w:ascii="Arial Narrow" w:hAnsi="Arial Narrow"/>
        </w:rPr>
        <w:t>ych</w:t>
      </w:r>
      <w:r w:rsidR="00357365" w:rsidRPr="003F67B5">
        <w:rPr>
          <w:rFonts w:ascii="Arial Narrow" w:hAnsi="Arial Narrow"/>
        </w:rPr>
        <w:t xml:space="preserve"> jako typ1 obejmujących telefon komórkowy wraz z baterią, ładowarką. Telefon powinien posiadać aparat fotograficzny, być odporny na działanie warunków atmosferycznych, wstrząsy, zabrudzenie, krótkotrwały kontakt z wodą, umożliwiać pracę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>, akumulator litowo-jonowy o pojemności 1300mAH</w:t>
      </w:r>
      <w:r w:rsidR="00E12558" w:rsidRPr="003F67B5">
        <w:rPr>
          <w:rFonts w:ascii="Arial Narrow" w:hAnsi="Arial Narrow"/>
        </w:rPr>
        <w:t>, odporność na warunki zewnętrzne IP67.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>4</w:t>
      </w:r>
      <w:r w:rsidR="00357365" w:rsidRPr="003F67B5">
        <w:rPr>
          <w:rFonts w:ascii="Arial Narrow" w:hAnsi="Arial Narrow"/>
          <w:b/>
          <w:bCs/>
        </w:rPr>
        <w:t xml:space="preserve"> </w:t>
      </w:r>
      <w:r w:rsidR="00357365" w:rsidRPr="003F67B5">
        <w:rPr>
          <w:rFonts w:ascii="Arial Narrow" w:hAnsi="Arial Narrow"/>
        </w:rPr>
        <w:t xml:space="preserve">zestawy określone jako typ2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="00357365" w:rsidRPr="003F67B5">
        <w:rPr>
          <w:rFonts w:ascii="Arial Narrow" w:hAnsi="Arial Narrow"/>
        </w:rPr>
        <w:t xml:space="preserve"> nowszym. Telefon powinien pracować w zakresie częstotliwości GSM/EDGE 850, 900, 1800, 1900 oraz WCDMA 900/1900/2100, tr</w:t>
      </w:r>
      <w:r w:rsidR="00BD5C05" w:rsidRPr="003F67B5">
        <w:rPr>
          <w:rFonts w:ascii="Arial Narrow" w:hAnsi="Arial Narrow"/>
        </w:rPr>
        <w:t>ansmisja danych GPRS, EDGE</w:t>
      </w:r>
      <w:r w:rsidR="00357365" w:rsidRPr="003F67B5">
        <w:rPr>
          <w:rFonts w:ascii="Arial Narrow" w:hAnsi="Arial Narrow"/>
        </w:rPr>
        <w:t xml:space="preserve">, HSDPA, LTE,  obsługa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 xml:space="preserve">, obsługa technologii </w:t>
      </w:r>
      <w:proofErr w:type="spellStart"/>
      <w:r w:rsidR="00357365" w:rsidRPr="003F67B5">
        <w:rPr>
          <w:rFonts w:ascii="Arial Narrow" w:hAnsi="Arial Narrow"/>
        </w:rPr>
        <w:t>WiFi</w:t>
      </w:r>
      <w:proofErr w:type="spellEnd"/>
      <w:r w:rsidR="00357365" w:rsidRPr="003F67B5">
        <w:rPr>
          <w:rFonts w:ascii="Arial Narrow" w:hAnsi="Arial Narrow"/>
        </w:rPr>
        <w:t xml:space="preserve">, GPS system operacyjny Android, aparat fotograficzny co najmniej </w:t>
      </w:r>
      <w:r w:rsidR="000573C9" w:rsidRPr="003F67B5">
        <w:rPr>
          <w:rFonts w:ascii="Arial Narrow" w:hAnsi="Arial Narrow"/>
        </w:rPr>
        <w:t>5</w:t>
      </w:r>
      <w:r w:rsidR="00357365" w:rsidRPr="003F67B5">
        <w:rPr>
          <w:rFonts w:ascii="Arial Narrow" w:hAnsi="Arial Narrow"/>
        </w:rPr>
        <w:t xml:space="preserve"> </w:t>
      </w:r>
      <w:proofErr w:type="spellStart"/>
      <w:r w:rsidR="00357365" w:rsidRPr="003F67B5">
        <w:rPr>
          <w:rFonts w:ascii="Arial Narrow" w:hAnsi="Arial Narrow"/>
        </w:rPr>
        <w:t>Mpix</w:t>
      </w:r>
      <w:proofErr w:type="spellEnd"/>
      <w:r w:rsidR="00357365" w:rsidRPr="003F67B5">
        <w:rPr>
          <w:rFonts w:ascii="Arial Narrow" w:hAnsi="Arial Narrow"/>
        </w:rPr>
        <w:t xml:space="preserve">. pamięć </w:t>
      </w:r>
      <w:r w:rsidR="000573C9" w:rsidRPr="003F67B5">
        <w:rPr>
          <w:rFonts w:ascii="Arial Narrow" w:hAnsi="Arial Narrow"/>
        </w:rPr>
        <w:t>8</w:t>
      </w:r>
      <w:r w:rsidR="00357365" w:rsidRPr="003F67B5">
        <w:rPr>
          <w:rFonts w:ascii="Arial Narrow" w:hAnsi="Arial Narrow"/>
        </w:rPr>
        <w:t>GB, obsługa konta email IMAP, POP3, ekran dotykowy –</w:t>
      </w:r>
      <w:r w:rsidR="000573C9" w:rsidRPr="003F67B5">
        <w:rPr>
          <w:rFonts w:ascii="Arial Narrow" w:hAnsi="Arial Narrow"/>
        </w:rPr>
        <w:t xml:space="preserve"> wyświetlacz  o przekątnej min.4</w:t>
      </w:r>
      <w:r w:rsidR="00357365" w:rsidRPr="003F67B5">
        <w:rPr>
          <w:rFonts w:ascii="Arial Narrow" w:hAnsi="Arial Narrow"/>
        </w:rPr>
        <w:t xml:space="preserve">” i rozdzielczości </w:t>
      </w:r>
      <w:r w:rsidR="000573C9" w:rsidRPr="003F67B5">
        <w:rPr>
          <w:rFonts w:ascii="Arial Narrow" w:hAnsi="Arial Narrow"/>
        </w:rPr>
        <w:t>800</w:t>
      </w:r>
      <w:r w:rsidR="00357365" w:rsidRPr="003F67B5">
        <w:rPr>
          <w:rFonts w:ascii="Arial Narrow" w:hAnsi="Arial Narrow"/>
        </w:rPr>
        <w:t>x</w:t>
      </w:r>
      <w:r w:rsidR="000573C9" w:rsidRPr="003F67B5">
        <w:rPr>
          <w:rFonts w:ascii="Arial Narrow" w:hAnsi="Arial Narrow"/>
        </w:rPr>
        <w:t>480</w:t>
      </w:r>
      <w:r w:rsidR="0057347E" w:rsidRPr="003F67B5">
        <w:rPr>
          <w:rFonts w:ascii="Arial Narrow" w:hAnsi="Arial Narrow"/>
        </w:rPr>
        <w:t>, matryca HD, procesor min.</w:t>
      </w:r>
      <w:r w:rsidR="000573C9" w:rsidRPr="003F67B5">
        <w:rPr>
          <w:rFonts w:ascii="Arial Narrow" w:hAnsi="Arial Narrow"/>
        </w:rPr>
        <w:t>1,2</w:t>
      </w:r>
      <w:r w:rsidR="00357365" w:rsidRPr="003F67B5">
        <w:rPr>
          <w:rFonts w:ascii="Arial Narrow" w:hAnsi="Arial Narrow"/>
        </w:rPr>
        <w:t xml:space="preserve"> GHz, </w:t>
      </w:r>
      <w:r w:rsidR="000573C9" w:rsidRPr="003F67B5">
        <w:rPr>
          <w:rFonts w:ascii="Arial Narrow" w:hAnsi="Arial Narrow"/>
        </w:rPr>
        <w:t>odporność na warunki zewnętrzne IP6</w:t>
      </w:r>
      <w:r w:rsidR="00C12AC7" w:rsidRPr="003F67B5">
        <w:rPr>
          <w:rFonts w:ascii="Arial Narrow" w:hAnsi="Arial Narrow"/>
        </w:rPr>
        <w:t>7</w:t>
      </w:r>
      <w:r w:rsidR="000573C9" w:rsidRPr="003F67B5">
        <w:rPr>
          <w:rFonts w:ascii="Arial Narrow" w:hAnsi="Arial Narrow"/>
        </w:rPr>
        <w:t>.</w:t>
      </w:r>
    </w:p>
    <w:p w:rsidR="001E3EF6" w:rsidRPr="003F67B5" w:rsidRDefault="00233893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26 </w:t>
      </w:r>
      <w:r w:rsidR="00027401" w:rsidRPr="003F67B5">
        <w:rPr>
          <w:rFonts w:ascii="Arial Narrow" w:hAnsi="Arial Narrow"/>
        </w:rPr>
        <w:t>zestawów</w:t>
      </w:r>
      <w:r w:rsidRPr="003F67B5">
        <w:rPr>
          <w:rFonts w:ascii="Arial Narrow" w:hAnsi="Arial Narrow"/>
        </w:rPr>
        <w:t xml:space="preserve"> określone jako typ3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Pr="003F67B5">
        <w:rPr>
          <w:rFonts w:ascii="Arial Narrow" w:hAnsi="Arial Narrow"/>
        </w:rPr>
        <w:t xml:space="preserve"> nowszym, obsługa 2 kart SIM (dual sim) Telefon powinien pracować w zakresie częstotliwości GSM/EDGE 850, 900, 1800, 1900, transmisja danych GPRS, EDGE, HSDPA, LTE obsługa technologii </w:t>
      </w:r>
      <w:proofErr w:type="spellStart"/>
      <w:r w:rsidRPr="003F67B5">
        <w:rPr>
          <w:rFonts w:ascii="Arial Narrow" w:hAnsi="Arial Narrow"/>
        </w:rPr>
        <w:t>Bluetooth</w:t>
      </w:r>
      <w:proofErr w:type="spellEnd"/>
      <w:r w:rsidRPr="003F67B5">
        <w:rPr>
          <w:rFonts w:ascii="Arial Narrow" w:hAnsi="Arial Narrow"/>
        </w:rPr>
        <w:t xml:space="preserve">, obsługa technologii </w:t>
      </w:r>
      <w:proofErr w:type="spellStart"/>
      <w:r w:rsidRPr="003F67B5">
        <w:rPr>
          <w:rFonts w:ascii="Arial Narrow" w:hAnsi="Arial Narrow"/>
        </w:rPr>
        <w:t>WiFi</w:t>
      </w:r>
      <w:proofErr w:type="spellEnd"/>
      <w:r w:rsidRPr="003F67B5">
        <w:rPr>
          <w:rFonts w:ascii="Arial Narrow" w:hAnsi="Arial Narrow"/>
        </w:rPr>
        <w:t xml:space="preserve">, GPS system operacyjny Android, aparat fotograficzny co najmniej 20 </w:t>
      </w:r>
      <w:proofErr w:type="spellStart"/>
      <w:r w:rsidRPr="003F67B5">
        <w:rPr>
          <w:rFonts w:ascii="Arial Narrow" w:hAnsi="Arial Narrow"/>
        </w:rPr>
        <w:t>Mpix</w:t>
      </w:r>
      <w:proofErr w:type="spellEnd"/>
      <w:r w:rsidRPr="003F67B5">
        <w:rPr>
          <w:rFonts w:ascii="Arial Narrow" w:hAnsi="Arial Narrow"/>
        </w:rPr>
        <w:t>. pamięć 64GB, obsługa konta email IMAP, POP3, ekran dotykowy – wyświetlacz  o przekątnej min. 5,1” i rozdzielczości 1080x1920, procesor min.2,4 GHz,</w:t>
      </w:r>
      <w:r w:rsidR="00357365" w:rsidRPr="003F67B5">
        <w:rPr>
          <w:rFonts w:ascii="Arial Narrow" w:hAnsi="Arial Narrow"/>
        </w:rPr>
        <w:t xml:space="preserve">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Dostarczone telefony i akcesoria mają być fabrycznie nowe, zapakowane w oryginale opakowania, w pełni sprawne i nie mogą nosić śladów użytkowania.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Wykonawca zaoferuje takie modele aparatów telefonicznych, które zostały wprowadzone na rynek polski w nie wcześniej niż w 201</w:t>
      </w:r>
      <w:r w:rsidR="000459EA" w:rsidRPr="003F67B5">
        <w:rPr>
          <w:rFonts w:ascii="Arial Narrow" w:hAnsi="Arial Narrow"/>
        </w:rPr>
        <w:t>6</w:t>
      </w:r>
      <w:r w:rsidRPr="003F67B5">
        <w:rPr>
          <w:rFonts w:ascii="Arial Narrow" w:hAnsi="Arial Narrow"/>
        </w:rPr>
        <w:t xml:space="preserve"> r. za wyjątkiem telefonu typ1 gdzie dopuszcza się zaoferowanie starszych modeli.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Wykonawca na własny koszt dostarczy telefony do siedziby Zamawiającego najpóźniej 14 dni od dnia podpisania umowy. </w:t>
      </w:r>
    </w:p>
    <w:p w:rsidR="00357365" w:rsidRPr="003F67B5" w:rsidRDefault="00357365" w:rsidP="00357365">
      <w:pPr>
        <w:jc w:val="both"/>
        <w:rPr>
          <w:rFonts w:ascii="Arial Narrow" w:hAnsi="Arial Narrow"/>
        </w:rPr>
      </w:pPr>
    </w:p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EEA"/>
    <w:rsid w:val="00027401"/>
    <w:rsid w:val="000459EA"/>
    <w:rsid w:val="000573C9"/>
    <w:rsid w:val="00090B91"/>
    <w:rsid w:val="000F0BD0"/>
    <w:rsid w:val="000F4646"/>
    <w:rsid w:val="00111725"/>
    <w:rsid w:val="001965DB"/>
    <w:rsid w:val="001C3660"/>
    <w:rsid w:val="001E3EF6"/>
    <w:rsid w:val="0023320A"/>
    <w:rsid w:val="00233893"/>
    <w:rsid w:val="0025077C"/>
    <w:rsid w:val="002624B7"/>
    <w:rsid w:val="00305757"/>
    <w:rsid w:val="003363AD"/>
    <w:rsid w:val="00357365"/>
    <w:rsid w:val="003605BA"/>
    <w:rsid w:val="003809FC"/>
    <w:rsid w:val="0039417E"/>
    <w:rsid w:val="00397EB1"/>
    <w:rsid w:val="003C1F97"/>
    <w:rsid w:val="003C68A7"/>
    <w:rsid w:val="003E07B0"/>
    <w:rsid w:val="003F67B5"/>
    <w:rsid w:val="004B1871"/>
    <w:rsid w:val="0053063C"/>
    <w:rsid w:val="0057347E"/>
    <w:rsid w:val="0059264B"/>
    <w:rsid w:val="00656F57"/>
    <w:rsid w:val="00665258"/>
    <w:rsid w:val="006D536B"/>
    <w:rsid w:val="006D6A39"/>
    <w:rsid w:val="00712933"/>
    <w:rsid w:val="0072475A"/>
    <w:rsid w:val="00727F51"/>
    <w:rsid w:val="0076112E"/>
    <w:rsid w:val="00764D66"/>
    <w:rsid w:val="007678BC"/>
    <w:rsid w:val="007D3F3A"/>
    <w:rsid w:val="007E4A98"/>
    <w:rsid w:val="00820236"/>
    <w:rsid w:val="008762E5"/>
    <w:rsid w:val="008A7A3C"/>
    <w:rsid w:val="0090152D"/>
    <w:rsid w:val="00932689"/>
    <w:rsid w:val="009C0847"/>
    <w:rsid w:val="009D6750"/>
    <w:rsid w:val="009F4190"/>
    <w:rsid w:val="00A01495"/>
    <w:rsid w:val="00A04CBC"/>
    <w:rsid w:val="00A51A59"/>
    <w:rsid w:val="00AF757B"/>
    <w:rsid w:val="00B05FBE"/>
    <w:rsid w:val="00B10EF5"/>
    <w:rsid w:val="00B30106"/>
    <w:rsid w:val="00B86197"/>
    <w:rsid w:val="00B8771B"/>
    <w:rsid w:val="00BD5C05"/>
    <w:rsid w:val="00BF6A02"/>
    <w:rsid w:val="00C03560"/>
    <w:rsid w:val="00C111C7"/>
    <w:rsid w:val="00C12AC7"/>
    <w:rsid w:val="00C44E6F"/>
    <w:rsid w:val="00C56342"/>
    <w:rsid w:val="00C9648D"/>
    <w:rsid w:val="00D61077"/>
    <w:rsid w:val="00D93330"/>
    <w:rsid w:val="00DC1217"/>
    <w:rsid w:val="00DC70EE"/>
    <w:rsid w:val="00DF349E"/>
    <w:rsid w:val="00E12558"/>
    <w:rsid w:val="00E41EEA"/>
    <w:rsid w:val="00F12E80"/>
    <w:rsid w:val="00F46943"/>
    <w:rsid w:val="00F52AFF"/>
    <w:rsid w:val="00F64610"/>
    <w:rsid w:val="00FD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27</cp:revision>
  <cp:lastPrinted>2017-05-08T13:09:00Z</cp:lastPrinted>
  <dcterms:created xsi:type="dcterms:W3CDTF">2017-04-12T08:44:00Z</dcterms:created>
  <dcterms:modified xsi:type="dcterms:W3CDTF">2017-05-08T13:11:00Z</dcterms:modified>
</cp:coreProperties>
</file>